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31A87" w14:textId="77777777" w:rsidR="00096F7D" w:rsidRDefault="00096F7D">
      <w:bookmarkStart w:id="0" w:name="_GoBack"/>
      <w:bookmarkEnd w:id="0"/>
      <w:r>
        <w:rPr>
          <w:noProof/>
        </w:rPr>
        <mc:AlternateContent>
          <mc:Choice Requires="wps">
            <w:drawing>
              <wp:anchor distT="0" distB="0" distL="114300" distR="114300" simplePos="0" relativeHeight="251659264" behindDoc="0" locked="0" layoutInCell="1" allowOverlap="1" wp14:anchorId="7CB197C3" wp14:editId="44181012">
                <wp:simplePos x="0" y="0"/>
                <wp:positionH relativeFrom="column">
                  <wp:posOffset>1143000</wp:posOffset>
                </wp:positionH>
                <wp:positionV relativeFrom="paragraph">
                  <wp:posOffset>114300</wp:posOffset>
                </wp:positionV>
                <wp:extent cx="37719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F70DA" w14:textId="77777777" w:rsidR="00096F7D" w:rsidRPr="00763C7A" w:rsidRDefault="00096F7D" w:rsidP="00096F7D">
                            <w:pPr>
                              <w:jc w:val="center"/>
                              <w:rPr>
                                <w:rFonts w:ascii="Palatino Linotype" w:hAnsi="Palatino Linotype"/>
                                <w:b/>
                                <w:color w:val="207B52"/>
                                <w:sz w:val="32"/>
                                <w:szCs w:val="32"/>
                              </w:rPr>
                            </w:pPr>
                            <w:r w:rsidRPr="00763C7A">
                              <w:rPr>
                                <w:rFonts w:ascii="Palatino Linotype" w:hAnsi="Palatino Linotype"/>
                                <w:b/>
                                <w:color w:val="207B52"/>
                                <w:sz w:val="32"/>
                                <w:szCs w:val="32"/>
                              </w:rPr>
                              <w:t>Faculty Advisory Council</w:t>
                            </w:r>
                          </w:p>
                          <w:p w14:paraId="1E392288" w14:textId="77777777" w:rsidR="00096F7D" w:rsidRPr="00763C7A" w:rsidRDefault="00096F7D" w:rsidP="00096F7D">
                            <w:pPr>
                              <w:jc w:val="center"/>
                              <w:rPr>
                                <w:rFonts w:ascii="Palatino Linotype" w:hAnsi="Palatino Linotype"/>
                                <w:b/>
                                <w:color w:val="207B52"/>
                                <w:sz w:val="32"/>
                                <w:szCs w:val="32"/>
                              </w:rPr>
                            </w:pPr>
                            <w:r w:rsidRPr="00763C7A">
                              <w:rPr>
                                <w:rFonts w:ascii="Palatino Linotype" w:hAnsi="Palatino Linotype"/>
                                <w:b/>
                                <w:color w:val="207B52"/>
                                <w:sz w:val="32"/>
                                <w:szCs w:val="32"/>
                              </w:rPr>
                              <w:t>Illinois Board of Higher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B197C3" id="_x0000_t202" coordsize="21600,21600" o:spt="202" path="m0,0l0,21600,21600,21600,21600,0xe">
                <v:stroke joinstyle="miter"/>
                <v:path gradientshapeok="t" o:connecttype="rect"/>
              </v:shapetype>
              <v:shape id="Text Box 2" o:spid="_x0000_s1026" type="#_x0000_t202" style="position:absolute;margin-left:90pt;margin-top:9pt;width:297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lTCc4CAAAO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" filled="f" stroked="f">
                <v:textbox>
                  <w:txbxContent>
                    <w:p w14:paraId="311F70DA" w14:textId="77777777" w:rsidR="00096F7D" w:rsidRPr="00763C7A" w:rsidRDefault="00096F7D" w:rsidP="00096F7D">
                      <w:pPr>
                        <w:jc w:val="center"/>
                        <w:rPr>
                          <w:rFonts w:ascii="Palatino Linotype" w:hAnsi="Palatino Linotype"/>
                          <w:b/>
                          <w:color w:val="207B52"/>
                          <w:sz w:val="32"/>
                          <w:szCs w:val="32"/>
                        </w:rPr>
                      </w:pPr>
                      <w:r w:rsidRPr="00763C7A">
                        <w:rPr>
                          <w:rFonts w:ascii="Palatino Linotype" w:hAnsi="Palatino Linotype"/>
                          <w:b/>
                          <w:color w:val="207B52"/>
                          <w:sz w:val="32"/>
                          <w:szCs w:val="32"/>
                        </w:rPr>
                        <w:t>Faculty Advisory Council</w:t>
                      </w:r>
                    </w:p>
                    <w:p w14:paraId="1E392288" w14:textId="77777777" w:rsidR="00096F7D" w:rsidRPr="00763C7A" w:rsidRDefault="00096F7D" w:rsidP="00096F7D">
                      <w:pPr>
                        <w:jc w:val="center"/>
                        <w:rPr>
                          <w:rFonts w:ascii="Palatino Linotype" w:hAnsi="Palatino Linotype"/>
                          <w:b/>
                          <w:color w:val="207B52"/>
                          <w:sz w:val="32"/>
                          <w:szCs w:val="32"/>
                        </w:rPr>
                      </w:pPr>
                      <w:r w:rsidRPr="00763C7A">
                        <w:rPr>
                          <w:rFonts w:ascii="Palatino Linotype" w:hAnsi="Palatino Linotype"/>
                          <w:b/>
                          <w:color w:val="207B52"/>
                          <w:sz w:val="32"/>
                          <w:szCs w:val="32"/>
                        </w:rPr>
                        <w:t>Illinois Board of Higher Education</w:t>
                      </w:r>
                    </w:p>
                  </w:txbxContent>
                </v:textbox>
                <w10:wrap type="square"/>
              </v:shape>
            </w:pict>
          </mc:Fallback>
        </mc:AlternateContent>
      </w:r>
      <w:r>
        <w:rPr>
          <w:noProof/>
        </w:rPr>
        <w:drawing>
          <wp:inline distT="0" distB="0" distL="0" distR="0" wp14:anchorId="6A2D62AB" wp14:editId="6A2F3C0B">
            <wp:extent cx="999101" cy="914400"/>
            <wp:effectExtent l="0" t="0" r="0" b="0"/>
            <wp:docPr id="3" name="Picture 0" descr="IBH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HE-LOGO.jpg"/>
                    <pic:cNvPicPr/>
                  </pic:nvPicPr>
                  <pic:blipFill>
                    <a:blip r:embed="rId7" cstate="print"/>
                    <a:stretch>
                      <a:fillRect/>
                    </a:stretch>
                  </pic:blipFill>
                  <pic:spPr>
                    <a:xfrm>
                      <a:off x="0" y="0"/>
                      <a:ext cx="999101" cy="914400"/>
                    </a:xfrm>
                    <a:prstGeom prst="rect">
                      <a:avLst/>
                    </a:prstGeom>
                  </pic:spPr>
                </pic:pic>
              </a:graphicData>
            </a:graphic>
          </wp:inline>
        </w:drawing>
      </w:r>
    </w:p>
    <w:p w14:paraId="173D6D09" w14:textId="77777777" w:rsidR="00096F7D" w:rsidRDefault="00096F7D"/>
    <w:p w14:paraId="2E2F5810" w14:textId="4DCF75B8" w:rsidR="00096F7D" w:rsidRPr="00D87372" w:rsidRDefault="00096F7D" w:rsidP="00D87372">
      <w:pPr>
        <w:pBdr>
          <w:bottom w:val="single" w:sz="4" w:space="1" w:color="auto"/>
        </w:pBdr>
        <w:jc w:val="center"/>
        <w:rPr>
          <w:b/>
          <w:color w:val="000000" w:themeColor="text1"/>
        </w:rPr>
      </w:pPr>
      <w:r w:rsidRPr="00D87372">
        <w:rPr>
          <w:b/>
          <w:color w:val="000000" w:themeColor="text1"/>
        </w:rPr>
        <w:t xml:space="preserve">WORKING GROUPS </w:t>
      </w:r>
      <w:r w:rsidR="00D87372">
        <w:rPr>
          <w:b/>
          <w:color w:val="000000" w:themeColor="text1"/>
        </w:rPr>
        <w:t>DECEMBER MEETING SUMMARIES</w:t>
      </w:r>
    </w:p>
    <w:p w14:paraId="1B892C76" w14:textId="77777777" w:rsidR="008E4112" w:rsidRDefault="008E4112">
      <w:pPr>
        <w:rPr>
          <w:b/>
          <w:color w:val="7030A0"/>
          <w:sz w:val="22"/>
          <w:szCs w:val="22"/>
        </w:rPr>
      </w:pPr>
    </w:p>
    <w:p w14:paraId="0E2E8162" w14:textId="155F9009" w:rsidR="00096F7D" w:rsidRPr="00D87372" w:rsidRDefault="00096F7D">
      <w:pPr>
        <w:rPr>
          <w:b/>
          <w:color w:val="7030A0"/>
          <w:sz w:val="22"/>
          <w:szCs w:val="22"/>
        </w:rPr>
      </w:pPr>
      <w:r w:rsidRPr="00D87372">
        <w:rPr>
          <w:b/>
          <w:color w:val="7030A0"/>
          <w:sz w:val="22"/>
          <w:szCs w:val="22"/>
        </w:rPr>
        <w:t>Program Prioritization &amp; Consolidation</w:t>
      </w:r>
    </w:p>
    <w:p w14:paraId="292648EC" w14:textId="46B7D47D" w:rsidR="00096F7D" w:rsidRPr="00BA06F0" w:rsidRDefault="00275145">
      <w:pPr>
        <w:rPr>
          <w:sz w:val="21"/>
          <w:szCs w:val="21"/>
        </w:rPr>
      </w:pPr>
      <w:r w:rsidRPr="00BA06F0">
        <w:rPr>
          <w:sz w:val="21"/>
          <w:szCs w:val="21"/>
        </w:rPr>
        <w:t>Editing a draft white paper on how r</w:t>
      </w:r>
      <w:r w:rsidR="00933BD3" w:rsidRPr="00BA06F0">
        <w:rPr>
          <w:sz w:val="21"/>
          <w:szCs w:val="21"/>
        </w:rPr>
        <w:t>ecent program realignments are modeled after management practices in the business world, which emphasize efficiency, cost savings, reducing “silos,” and fostering interdisciplinary collaboration.</w:t>
      </w:r>
      <w:r w:rsidRPr="00BA06F0">
        <w:rPr>
          <w:sz w:val="21"/>
          <w:szCs w:val="21"/>
        </w:rPr>
        <w:t xml:space="preserve"> </w:t>
      </w:r>
      <w:r w:rsidR="00933BD3" w:rsidRPr="00BA06F0">
        <w:rPr>
          <w:sz w:val="21"/>
          <w:szCs w:val="21"/>
        </w:rPr>
        <w:t xml:space="preserve"> </w:t>
      </w:r>
      <w:r w:rsidRPr="00BA06F0">
        <w:rPr>
          <w:sz w:val="21"/>
          <w:szCs w:val="21"/>
        </w:rPr>
        <w:t>The paper takes the position that a</w:t>
      </w:r>
      <w:r w:rsidR="00933BD3" w:rsidRPr="00BA06F0">
        <w:rPr>
          <w:sz w:val="21"/>
          <w:szCs w:val="21"/>
        </w:rPr>
        <w:t>dopting such language wholesale from the field of business fails to do justice to the unique nature of higher education, and displaces faculty members from a sense of ownership of their programs and their professions</w:t>
      </w:r>
      <w:r w:rsidRPr="00BA06F0">
        <w:rPr>
          <w:sz w:val="21"/>
          <w:szCs w:val="21"/>
        </w:rPr>
        <w:t xml:space="preserve">. The paper calls for holding fast to the values of generating and preserving knowledge through higher </w:t>
      </w:r>
      <w:proofErr w:type="spellStart"/>
      <w:r w:rsidRPr="00BA06F0">
        <w:rPr>
          <w:sz w:val="21"/>
          <w:szCs w:val="21"/>
        </w:rPr>
        <w:t>ed</w:t>
      </w:r>
      <w:proofErr w:type="spellEnd"/>
      <w:r w:rsidRPr="00BA06F0">
        <w:rPr>
          <w:sz w:val="21"/>
          <w:szCs w:val="21"/>
        </w:rPr>
        <w:t xml:space="preserve"> built upon a foundation of liberal arts and sciences; remembering the role of faculty in any and all reorganization efforts on campus and statewide; and the need to realign programs based upon academic reasons, not logistical efficiencies.   </w:t>
      </w:r>
    </w:p>
    <w:p w14:paraId="16F9F092" w14:textId="77777777" w:rsidR="00096F7D" w:rsidRDefault="00096F7D"/>
    <w:p w14:paraId="0D8ECE7C" w14:textId="77777777" w:rsidR="00096F7D" w:rsidRPr="00D87372" w:rsidRDefault="00096F7D">
      <w:pPr>
        <w:rPr>
          <w:b/>
          <w:color w:val="385623" w:themeColor="accent6" w:themeShade="80"/>
          <w:sz w:val="22"/>
          <w:szCs w:val="22"/>
        </w:rPr>
      </w:pPr>
      <w:r w:rsidRPr="00D87372">
        <w:rPr>
          <w:b/>
          <w:color w:val="385623" w:themeColor="accent6" w:themeShade="80"/>
          <w:sz w:val="22"/>
          <w:szCs w:val="22"/>
        </w:rPr>
        <w:t>P20 Outreach</w:t>
      </w:r>
    </w:p>
    <w:p w14:paraId="3A941C6D" w14:textId="4358E847" w:rsidR="00096F7D" w:rsidRPr="00BA06F0" w:rsidRDefault="001623AD">
      <w:pPr>
        <w:rPr>
          <w:sz w:val="21"/>
          <w:szCs w:val="21"/>
        </w:rPr>
      </w:pPr>
      <w:r w:rsidRPr="00BA06F0">
        <w:rPr>
          <w:sz w:val="21"/>
          <w:szCs w:val="21"/>
        </w:rPr>
        <w:t xml:space="preserve">Developing survey that </w:t>
      </w:r>
      <w:r w:rsidR="002C1072" w:rsidRPr="00BA06F0">
        <w:rPr>
          <w:sz w:val="21"/>
          <w:szCs w:val="21"/>
        </w:rPr>
        <w:t xml:space="preserve">will </w:t>
      </w:r>
      <w:r w:rsidR="00633627" w:rsidRPr="00BA06F0">
        <w:rPr>
          <w:sz w:val="21"/>
          <w:szCs w:val="21"/>
        </w:rPr>
        <w:t xml:space="preserve">probe to </w:t>
      </w:r>
      <w:r w:rsidR="002C1072" w:rsidRPr="00BA06F0">
        <w:rPr>
          <w:sz w:val="21"/>
          <w:szCs w:val="21"/>
        </w:rPr>
        <w:t xml:space="preserve">yield </w:t>
      </w:r>
      <w:r w:rsidR="00633627" w:rsidRPr="00BA06F0">
        <w:rPr>
          <w:sz w:val="21"/>
          <w:szCs w:val="21"/>
        </w:rPr>
        <w:t>institutional</w:t>
      </w:r>
      <w:r w:rsidR="002C1072" w:rsidRPr="00BA06F0">
        <w:rPr>
          <w:sz w:val="21"/>
          <w:szCs w:val="21"/>
        </w:rPr>
        <w:t xml:space="preserve"> summaries of key community involvement and service commitments in these respects</w:t>
      </w:r>
      <w:r w:rsidR="00633627" w:rsidRPr="00BA06F0">
        <w:rPr>
          <w:sz w:val="21"/>
          <w:szCs w:val="21"/>
        </w:rPr>
        <w:t xml:space="preserve">, </w:t>
      </w:r>
      <w:r w:rsidR="00275145" w:rsidRPr="00BA06F0">
        <w:rPr>
          <w:sz w:val="21"/>
          <w:szCs w:val="21"/>
        </w:rPr>
        <w:t xml:space="preserve">using categories </w:t>
      </w:r>
      <w:r w:rsidR="00ED7658" w:rsidRPr="00BA06F0">
        <w:rPr>
          <w:sz w:val="21"/>
          <w:szCs w:val="21"/>
        </w:rPr>
        <w:t xml:space="preserve">adapted from the </w:t>
      </w:r>
      <w:r w:rsidR="00ED7658" w:rsidRPr="00BA06F0">
        <w:rPr>
          <w:i/>
          <w:sz w:val="21"/>
          <w:szCs w:val="21"/>
        </w:rPr>
        <w:t>Chicago:</w:t>
      </w:r>
      <w:r w:rsidR="007E6FB7" w:rsidRPr="00BA06F0">
        <w:rPr>
          <w:i/>
          <w:sz w:val="21"/>
          <w:szCs w:val="21"/>
        </w:rPr>
        <w:t xml:space="preserve"> </w:t>
      </w:r>
      <w:r w:rsidR="00ED7658" w:rsidRPr="00BA06F0">
        <w:rPr>
          <w:i/>
          <w:sz w:val="21"/>
          <w:szCs w:val="21"/>
        </w:rPr>
        <w:t>America’s Urban Campus</w:t>
      </w:r>
      <w:r w:rsidR="007E6FB7" w:rsidRPr="00BA06F0">
        <w:rPr>
          <w:i/>
          <w:sz w:val="21"/>
          <w:szCs w:val="21"/>
        </w:rPr>
        <w:t>, 2018 Economic Footprint</w:t>
      </w:r>
      <w:r w:rsidR="007E6FB7" w:rsidRPr="00BA06F0">
        <w:rPr>
          <w:sz w:val="21"/>
          <w:szCs w:val="21"/>
        </w:rPr>
        <w:t xml:space="preserve"> report but applying them</w:t>
      </w:r>
      <w:r w:rsidR="00275145" w:rsidRPr="00BA06F0">
        <w:rPr>
          <w:sz w:val="21"/>
          <w:szCs w:val="21"/>
        </w:rPr>
        <w:t xml:space="preserve"> statewide</w:t>
      </w:r>
      <w:r w:rsidR="002C1072" w:rsidRPr="00BA06F0">
        <w:rPr>
          <w:sz w:val="21"/>
          <w:szCs w:val="21"/>
        </w:rPr>
        <w:t xml:space="preserve">: </w:t>
      </w:r>
      <w:r w:rsidR="007E6FB7" w:rsidRPr="00BA06F0">
        <w:rPr>
          <w:sz w:val="21"/>
          <w:szCs w:val="21"/>
        </w:rPr>
        <w:t xml:space="preserve">Social and Cultural Impacts (P-12 outreach; music, theater, and art; social services), Economic Development Initiatives, plus Innovation and Entrepreneurship Programs. FAC members will be asked to earmark institutions other than their own where they have contacts who can help with this outreach landscape mapping.  </w:t>
      </w:r>
      <w:r w:rsidR="00FB1976" w:rsidRPr="00BA06F0">
        <w:rPr>
          <w:sz w:val="21"/>
          <w:szCs w:val="21"/>
        </w:rPr>
        <w:t>Emphasis will be on capturing faculty stories and anecdotes about their work in reaching beyond their campuses to effect positive change in communities across Illinois.  (We are focusing on Illinois only.)</w:t>
      </w:r>
      <w:r w:rsidR="00942F4E" w:rsidRPr="00BA06F0">
        <w:rPr>
          <w:sz w:val="21"/>
          <w:szCs w:val="21"/>
        </w:rPr>
        <w:t xml:space="preserve">  Survey data collected will be used to populate an interactive map that documents and demonstrates institutional impact on Illinois communities. </w:t>
      </w:r>
    </w:p>
    <w:p w14:paraId="6DE25760" w14:textId="77777777" w:rsidR="00096F7D" w:rsidRDefault="00096F7D"/>
    <w:p w14:paraId="1F3EFADC" w14:textId="77777777" w:rsidR="00096F7D" w:rsidRPr="00D87372" w:rsidRDefault="00096F7D">
      <w:pPr>
        <w:rPr>
          <w:b/>
          <w:color w:val="EF3B54"/>
          <w:sz w:val="22"/>
          <w:szCs w:val="22"/>
        </w:rPr>
      </w:pPr>
      <w:r w:rsidRPr="00D87372">
        <w:rPr>
          <w:b/>
          <w:color w:val="EF3B54"/>
          <w:sz w:val="22"/>
          <w:szCs w:val="22"/>
        </w:rPr>
        <w:t>IAI</w:t>
      </w:r>
    </w:p>
    <w:p w14:paraId="4E2A7C7F" w14:textId="6E0BDF66" w:rsidR="00096F7D" w:rsidRPr="00BA06F0" w:rsidRDefault="00734721">
      <w:pPr>
        <w:rPr>
          <w:sz w:val="21"/>
          <w:szCs w:val="21"/>
        </w:rPr>
      </w:pPr>
      <w:r w:rsidRPr="00BA06F0">
        <w:rPr>
          <w:sz w:val="21"/>
          <w:szCs w:val="21"/>
        </w:rPr>
        <w:t xml:space="preserve">Developing survey to gain faculty perspective on their </w:t>
      </w:r>
      <w:r w:rsidR="00F3005A" w:rsidRPr="00BA06F0">
        <w:rPr>
          <w:sz w:val="21"/>
          <w:szCs w:val="21"/>
        </w:rPr>
        <w:t>institutions’</w:t>
      </w:r>
      <w:r w:rsidRPr="00BA06F0">
        <w:rPr>
          <w:sz w:val="21"/>
          <w:szCs w:val="21"/>
        </w:rPr>
        <w:t xml:space="preserve">’ actual IAI participation, especially in terms of course types accepted vs. not; campus infrastructure and system for working with transfer students within IAI and outside of it; </w:t>
      </w:r>
      <w:r w:rsidR="00F3005A" w:rsidRPr="00BA06F0">
        <w:rPr>
          <w:sz w:val="21"/>
          <w:szCs w:val="21"/>
        </w:rPr>
        <w:t xml:space="preserve">and </w:t>
      </w:r>
      <w:r w:rsidR="00445428" w:rsidRPr="00BA06F0">
        <w:rPr>
          <w:sz w:val="21"/>
          <w:szCs w:val="21"/>
        </w:rPr>
        <w:t xml:space="preserve">the faculty’s overall commitment to transfer. </w:t>
      </w:r>
    </w:p>
    <w:p w14:paraId="2B51D18F" w14:textId="77777777" w:rsidR="00096F7D" w:rsidRDefault="00096F7D"/>
    <w:p w14:paraId="7CE1255A" w14:textId="77777777" w:rsidR="00096F7D" w:rsidRPr="00D87372" w:rsidRDefault="00096F7D">
      <w:pPr>
        <w:rPr>
          <w:b/>
          <w:color w:val="0070C0"/>
          <w:sz w:val="22"/>
          <w:szCs w:val="22"/>
        </w:rPr>
      </w:pPr>
      <w:r w:rsidRPr="00D87372">
        <w:rPr>
          <w:b/>
          <w:color w:val="0070C0"/>
          <w:sz w:val="22"/>
          <w:szCs w:val="22"/>
        </w:rPr>
        <w:t>Dual Credit/Regional Dual Credit System</w:t>
      </w:r>
    </w:p>
    <w:p w14:paraId="32F4B028" w14:textId="3C780BBC" w:rsidR="00096F7D" w:rsidRPr="00BA06F0" w:rsidRDefault="00633627">
      <w:pPr>
        <w:rPr>
          <w:sz w:val="21"/>
          <w:szCs w:val="21"/>
        </w:rPr>
      </w:pPr>
      <w:r w:rsidRPr="00BA06F0">
        <w:rPr>
          <w:rFonts w:cs="Times New Roman"/>
          <w:sz w:val="21"/>
          <w:szCs w:val="21"/>
        </w:rPr>
        <w:t>We focused on SB 2838, which amen</w:t>
      </w:r>
      <w:r w:rsidR="0049064F" w:rsidRPr="00BA06F0">
        <w:rPr>
          <w:rFonts w:cs="Times New Roman"/>
          <w:sz w:val="21"/>
          <w:szCs w:val="21"/>
        </w:rPr>
        <w:t>ded the Dual Credit Quality Act</w:t>
      </w:r>
      <w:r w:rsidRPr="00BA06F0">
        <w:rPr>
          <w:rFonts w:cs="Times New Roman"/>
          <w:sz w:val="21"/>
          <w:szCs w:val="21"/>
        </w:rPr>
        <w:t xml:space="preserve"> in </w:t>
      </w:r>
      <w:r w:rsidR="0049064F" w:rsidRPr="00BA06F0">
        <w:rPr>
          <w:rFonts w:cs="Times New Roman"/>
          <w:sz w:val="21"/>
          <w:szCs w:val="21"/>
        </w:rPr>
        <w:t xml:space="preserve">effect </w:t>
      </w:r>
      <w:r w:rsidRPr="00BA06F0">
        <w:rPr>
          <w:rFonts w:cs="Times New Roman"/>
          <w:sz w:val="21"/>
          <w:szCs w:val="21"/>
        </w:rPr>
        <w:t xml:space="preserve">January 2019. </w:t>
      </w:r>
      <w:r w:rsidR="0049064F" w:rsidRPr="00BA06F0">
        <w:rPr>
          <w:rFonts w:cs="Times New Roman"/>
          <w:sz w:val="21"/>
          <w:szCs w:val="21"/>
        </w:rPr>
        <w:t>Four resulting,</w:t>
      </w:r>
      <w:r w:rsidRPr="00BA06F0">
        <w:rPr>
          <w:rFonts w:cs="Times New Roman"/>
          <w:sz w:val="21"/>
          <w:szCs w:val="21"/>
        </w:rPr>
        <w:t xml:space="preserve"> key changes</w:t>
      </w:r>
      <w:r w:rsidR="0049064F" w:rsidRPr="00BA06F0">
        <w:rPr>
          <w:rFonts w:cs="Times New Roman"/>
          <w:sz w:val="21"/>
          <w:szCs w:val="21"/>
        </w:rPr>
        <w:t xml:space="preserve"> with passage</w:t>
      </w:r>
      <w:r w:rsidRPr="00BA06F0">
        <w:rPr>
          <w:rFonts w:cs="Times New Roman"/>
          <w:sz w:val="21"/>
          <w:szCs w:val="21"/>
        </w:rPr>
        <w:t>: access, partnership agreements, instructor qualifications, and the requirement that GECC courses offered through Dual Credit be accepted by all IAI institutions. The most problematic of these are the variations and details of partnership agreements and concerns about whether the amendments about instructor qualifications could bring CCs into conflict with accreditation requirements through the HLC.</w:t>
      </w:r>
      <w:r w:rsidR="007E6FB7" w:rsidRPr="00BA06F0">
        <w:rPr>
          <w:rFonts w:cs="Times New Roman"/>
          <w:sz w:val="21"/>
          <w:szCs w:val="21"/>
        </w:rPr>
        <w:t xml:space="preserve"> </w:t>
      </w:r>
      <w:r w:rsidRPr="00BA06F0">
        <w:rPr>
          <w:rFonts w:cs="Times New Roman"/>
          <w:sz w:val="21"/>
          <w:szCs w:val="21"/>
        </w:rPr>
        <w:t>Two white papers planned: A</w:t>
      </w:r>
      <w:r w:rsidRPr="00BA06F0">
        <w:rPr>
          <w:rFonts w:cs="Times New Roman"/>
          <w:sz w:val="21"/>
          <w:szCs w:val="21"/>
        </w:rPr>
        <w:t xml:space="preserve"> response to the DCQA amendments</w:t>
      </w:r>
      <w:r w:rsidRPr="00BA06F0">
        <w:rPr>
          <w:rFonts w:cs="Times New Roman"/>
          <w:sz w:val="21"/>
          <w:szCs w:val="21"/>
        </w:rPr>
        <w:t xml:space="preserve"> plus one</w:t>
      </w:r>
      <w:r w:rsidRPr="00BA06F0">
        <w:rPr>
          <w:rFonts w:cs="Times New Roman"/>
          <w:sz w:val="21"/>
          <w:szCs w:val="21"/>
        </w:rPr>
        <w:t xml:space="preserve"> address</w:t>
      </w:r>
      <w:r w:rsidRPr="00BA06F0">
        <w:rPr>
          <w:rFonts w:cs="Times New Roman"/>
          <w:sz w:val="21"/>
          <w:szCs w:val="21"/>
        </w:rPr>
        <w:t>ing</w:t>
      </w:r>
      <w:r w:rsidRPr="00BA06F0">
        <w:rPr>
          <w:rFonts w:cs="Times New Roman"/>
          <w:sz w:val="21"/>
          <w:szCs w:val="21"/>
        </w:rPr>
        <w:t xml:space="preserve"> the barriers and benefits regarding regional Dual Credit groups</w:t>
      </w:r>
      <w:r w:rsidRPr="00BA06F0">
        <w:rPr>
          <w:rFonts w:cs="Times New Roman"/>
          <w:sz w:val="21"/>
          <w:szCs w:val="21"/>
        </w:rPr>
        <w:t>,</w:t>
      </w:r>
      <w:r w:rsidRPr="00BA06F0">
        <w:rPr>
          <w:rFonts w:cs="Times New Roman"/>
          <w:sz w:val="21"/>
          <w:szCs w:val="21"/>
        </w:rPr>
        <w:t xml:space="preserve"> to address the involvement of I</w:t>
      </w:r>
      <w:r w:rsidR="007E6FB7" w:rsidRPr="00BA06F0">
        <w:rPr>
          <w:rFonts w:cs="Times New Roman"/>
          <w:sz w:val="21"/>
          <w:szCs w:val="21"/>
        </w:rPr>
        <w:t>llinois four-year institutions.</w:t>
      </w:r>
    </w:p>
    <w:p w14:paraId="7016B1D0" w14:textId="77777777" w:rsidR="00096F7D" w:rsidRDefault="00096F7D"/>
    <w:p w14:paraId="31B07D1D" w14:textId="77777777" w:rsidR="00096F7D" w:rsidRPr="00D87372" w:rsidRDefault="00096F7D">
      <w:pPr>
        <w:rPr>
          <w:b/>
          <w:color w:val="C45911" w:themeColor="accent2" w:themeShade="BF"/>
          <w:sz w:val="22"/>
          <w:szCs w:val="22"/>
        </w:rPr>
      </w:pPr>
      <w:r w:rsidRPr="00D87372">
        <w:rPr>
          <w:b/>
          <w:color w:val="C45911" w:themeColor="accent2" w:themeShade="BF"/>
          <w:sz w:val="22"/>
          <w:szCs w:val="22"/>
        </w:rPr>
        <w:t>‘This We Believe’</w:t>
      </w:r>
    </w:p>
    <w:p w14:paraId="5ABC8173" w14:textId="7329B332" w:rsidR="00096F7D" w:rsidRPr="00BA06F0" w:rsidRDefault="00D87372">
      <w:pPr>
        <w:rPr>
          <w:sz w:val="21"/>
          <w:szCs w:val="21"/>
        </w:rPr>
      </w:pPr>
      <w:r w:rsidRPr="00BA06F0">
        <w:rPr>
          <w:rFonts w:cs="Times New Roman"/>
          <w:sz w:val="21"/>
          <w:szCs w:val="21"/>
        </w:rPr>
        <w:t>Drafted</w:t>
      </w:r>
      <w:r w:rsidR="00500801" w:rsidRPr="00BA06F0">
        <w:rPr>
          <w:rFonts w:cs="Times New Roman"/>
          <w:sz w:val="21"/>
          <w:szCs w:val="21"/>
        </w:rPr>
        <w:t xml:space="preserve"> a one-page handout </w:t>
      </w:r>
      <w:r w:rsidRPr="00BA06F0">
        <w:rPr>
          <w:rFonts w:cs="Times New Roman"/>
          <w:sz w:val="21"/>
          <w:szCs w:val="21"/>
        </w:rPr>
        <w:t>clarifying</w:t>
      </w:r>
      <w:r w:rsidR="00500801" w:rsidRPr="00BA06F0">
        <w:rPr>
          <w:rFonts w:cs="Times New Roman"/>
          <w:sz w:val="21"/>
          <w:szCs w:val="21"/>
        </w:rPr>
        <w:t xml:space="preserve"> the value of higher education in Illinois</w:t>
      </w:r>
      <w:r w:rsidRPr="00BA06F0">
        <w:rPr>
          <w:rFonts w:cs="Times New Roman"/>
          <w:sz w:val="21"/>
          <w:szCs w:val="21"/>
        </w:rPr>
        <w:t xml:space="preserve"> for all stakeholders, for review and discussion at the January meeting</w:t>
      </w:r>
      <w:r w:rsidR="00500801" w:rsidRPr="00BA06F0">
        <w:rPr>
          <w:rFonts w:cs="Times New Roman"/>
          <w:sz w:val="21"/>
          <w:szCs w:val="21"/>
        </w:rPr>
        <w:t>.</w:t>
      </w:r>
    </w:p>
    <w:p w14:paraId="0CBEF04C" w14:textId="77777777" w:rsidR="00096F7D" w:rsidRPr="00BA06F0" w:rsidRDefault="00096F7D">
      <w:pPr>
        <w:rPr>
          <w:sz w:val="21"/>
          <w:szCs w:val="21"/>
        </w:rPr>
      </w:pPr>
    </w:p>
    <w:p w14:paraId="14154D15" w14:textId="77777777" w:rsidR="00096F7D" w:rsidRDefault="00096F7D"/>
    <w:sectPr w:rsidR="00096F7D" w:rsidSect="00E71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2C05C" w14:textId="77777777" w:rsidR="00A03840" w:rsidRDefault="00A03840" w:rsidP="00933BD3">
      <w:r>
        <w:separator/>
      </w:r>
    </w:p>
  </w:endnote>
  <w:endnote w:type="continuationSeparator" w:id="0">
    <w:p w14:paraId="06BA58A6" w14:textId="77777777" w:rsidR="00A03840" w:rsidRDefault="00A03840" w:rsidP="0093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F8A8A" w14:textId="77777777" w:rsidR="00A03840" w:rsidRDefault="00A03840" w:rsidP="00933BD3">
      <w:r>
        <w:separator/>
      </w:r>
    </w:p>
  </w:footnote>
  <w:footnote w:type="continuationSeparator" w:id="0">
    <w:p w14:paraId="2F217ECC" w14:textId="77777777" w:rsidR="00A03840" w:rsidRDefault="00A03840" w:rsidP="00933B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8ED"/>
    <w:multiLevelType w:val="hybridMultilevel"/>
    <w:tmpl w:val="E00A7754"/>
    <w:lvl w:ilvl="0" w:tplc="9AFC2B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7D"/>
    <w:rsid w:val="00096F7D"/>
    <w:rsid w:val="001623AD"/>
    <w:rsid w:val="00275145"/>
    <w:rsid w:val="002C1072"/>
    <w:rsid w:val="00445428"/>
    <w:rsid w:val="0049064F"/>
    <w:rsid w:val="00500801"/>
    <w:rsid w:val="00633627"/>
    <w:rsid w:val="00734721"/>
    <w:rsid w:val="007D478F"/>
    <w:rsid w:val="007E6FB7"/>
    <w:rsid w:val="008E4112"/>
    <w:rsid w:val="00933BD3"/>
    <w:rsid w:val="00942F4E"/>
    <w:rsid w:val="00A03840"/>
    <w:rsid w:val="00B74184"/>
    <w:rsid w:val="00BA06F0"/>
    <w:rsid w:val="00C24EFE"/>
    <w:rsid w:val="00D87372"/>
    <w:rsid w:val="00E11B73"/>
    <w:rsid w:val="00E7197B"/>
    <w:rsid w:val="00ED7658"/>
    <w:rsid w:val="00F3005A"/>
    <w:rsid w:val="00FB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F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27"/>
    <w:pPr>
      <w:ind w:left="720"/>
      <w:contextualSpacing/>
    </w:pPr>
  </w:style>
  <w:style w:type="paragraph" w:styleId="FootnoteText">
    <w:name w:val="footnote text"/>
    <w:basedOn w:val="Normal"/>
    <w:link w:val="FootnoteTextChar"/>
    <w:uiPriority w:val="99"/>
    <w:semiHidden/>
    <w:unhideWhenUsed/>
    <w:rsid w:val="00933BD3"/>
    <w:rPr>
      <w:sz w:val="20"/>
      <w:szCs w:val="20"/>
    </w:rPr>
  </w:style>
  <w:style w:type="character" w:customStyle="1" w:styleId="FootnoteTextChar">
    <w:name w:val="Footnote Text Char"/>
    <w:basedOn w:val="DefaultParagraphFont"/>
    <w:link w:val="FootnoteText"/>
    <w:uiPriority w:val="99"/>
    <w:semiHidden/>
    <w:rsid w:val="00933BD3"/>
    <w:rPr>
      <w:sz w:val="20"/>
      <w:szCs w:val="20"/>
    </w:rPr>
  </w:style>
  <w:style w:type="character" w:styleId="FootnoteReference">
    <w:name w:val="footnote reference"/>
    <w:basedOn w:val="DefaultParagraphFont"/>
    <w:uiPriority w:val="99"/>
    <w:semiHidden/>
    <w:unhideWhenUsed/>
    <w:rsid w:val="00933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2019-01-16T22:53:00Z</dcterms:created>
  <dcterms:modified xsi:type="dcterms:W3CDTF">2019-01-16T22:53:00Z</dcterms:modified>
</cp:coreProperties>
</file>